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566"/>
        <w:gridCol w:w="5358"/>
      </w:tblGrid>
      <w:tr w:rsidR="006F6326" w:rsidTr="00274572">
        <w:tc>
          <w:tcPr>
            <w:tcW w:w="4566"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5358" w:type="dxa"/>
          </w:tcPr>
          <w:p w:rsidR="00B87695" w:rsidRPr="00A96C08" w:rsidRDefault="00274572" w:rsidP="00677766">
            <w:pPr>
              <w:rPr>
                <w:rFonts w:ascii="Arial" w:hAnsi="Arial" w:cs="Arial"/>
              </w:rPr>
            </w:pPr>
            <w:r>
              <w:rPr>
                <w:rFonts w:ascii="Arial" w:hAnsi="Arial" w:cs="Arial"/>
              </w:rPr>
              <w:t xml:space="preserve">Award of </w:t>
            </w:r>
            <w:r w:rsidR="00677766">
              <w:rPr>
                <w:rFonts w:ascii="Arial" w:hAnsi="Arial" w:cs="Arial"/>
              </w:rPr>
              <w:t>Engagement and Assessment contract to St Mungo’s</w:t>
            </w:r>
          </w:p>
        </w:tc>
      </w:tr>
      <w:tr w:rsidR="006F6326" w:rsidTr="00274572">
        <w:tc>
          <w:tcPr>
            <w:tcW w:w="4566"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5358" w:type="dxa"/>
          </w:tcPr>
          <w:p w:rsidR="00263039" w:rsidRPr="00A96C08" w:rsidRDefault="00AB721B" w:rsidP="008A22C6">
            <w:pPr>
              <w:rPr>
                <w:rFonts w:ascii="Arial" w:hAnsi="Arial" w:cs="Arial"/>
              </w:rPr>
            </w:pPr>
            <w:r>
              <w:rPr>
                <w:rFonts w:ascii="Arial" w:hAnsi="Arial" w:cs="Arial"/>
              </w:rPr>
              <w:t>20</w:t>
            </w:r>
            <w:bookmarkStart w:id="0" w:name="_GoBack"/>
            <w:bookmarkEnd w:id="0"/>
            <w:r w:rsidR="00677766">
              <w:rPr>
                <w:rFonts w:ascii="Arial" w:hAnsi="Arial" w:cs="Arial"/>
              </w:rPr>
              <w:t xml:space="preserve"> October 2021</w:t>
            </w:r>
          </w:p>
        </w:tc>
      </w:tr>
      <w:tr w:rsidR="00854133" w:rsidTr="00274572">
        <w:tc>
          <w:tcPr>
            <w:tcW w:w="4566"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5358" w:type="dxa"/>
          </w:tcPr>
          <w:p w:rsidR="004A049B" w:rsidRPr="00E20A54" w:rsidRDefault="0020137C" w:rsidP="00BF5EA4">
            <w:pPr>
              <w:rPr>
                <w:rFonts w:ascii="Arial" w:hAnsi="Arial" w:cs="Arial"/>
              </w:rPr>
            </w:pPr>
            <w:r>
              <w:rPr>
                <w:rFonts w:ascii="Arial" w:hAnsi="Arial" w:cs="Arial"/>
              </w:rPr>
              <w:t>Cab</w:t>
            </w:r>
            <w:r w:rsidR="00FC2973">
              <w:rPr>
                <w:rFonts w:ascii="Arial" w:hAnsi="Arial" w:cs="Arial"/>
              </w:rPr>
              <w:t>inet (16 June 2021) – Report on County-Wide Transformation of Homelessness.</w:t>
            </w:r>
            <w:r w:rsidR="00BF5EA4">
              <w:rPr>
                <w:rFonts w:ascii="Arial" w:hAnsi="Arial" w:cs="Arial"/>
              </w:rPr>
              <w:t xml:space="preserve"> Recommendation 5 was to:</w:t>
            </w:r>
            <w:r w:rsidR="00FC2973" w:rsidRPr="00FC2973">
              <w:rPr>
                <w:rFonts w:ascii="Arial" w:hAnsi="Arial" w:cs="Arial"/>
              </w:rPr>
              <w:t xml:space="preserve"> Approve the re-procurement of the Outreach, Engagement and Assessment</w:t>
            </w:r>
            <w:r w:rsidR="00BF5EA4">
              <w:rPr>
                <w:rFonts w:ascii="Arial" w:hAnsi="Arial" w:cs="Arial"/>
              </w:rPr>
              <w:t xml:space="preserve"> </w:t>
            </w:r>
            <w:r w:rsidR="00FC2973" w:rsidRPr="00FC2973">
              <w:rPr>
                <w:rFonts w:ascii="Arial" w:hAnsi="Arial" w:cs="Arial"/>
              </w:rPr>
              <w:t>hub contract at a value of £1,420,507 and delegate the responsibility for the</w:t>
            </w:r>
            <w:r w:rsidR="00BF5EA4">
              <w:rPr>
                <w:rFonts w:ascii="Arial" w:hAnsi="Arial" w:cs="Arial"/>
              </w:rPr>
              <w:t xml:space="preserve"> </w:t>
            </w:r>
            <w:r w:rsidR="00FC2973" w:rsidRPr="00FC2973">
              <w:rPr>
                <w:rFonts w:ascii="Arial" w:hAnsi="Arial" w:cs="Arial"/>
              </w:rPr>
              <w:t>award of contract to the Executive Director for Housing;</w:t>
            </w:r>
          </w:p>
        </w:tc>
      </w:tr>
      <w:tr w:rsidR="00B87695" w:rsidTr="00274572">
        <w:tc>
          <w:tcPr>
            <w:tcW w:w="4566"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5358" w:type="dxa"/>
          </w:tcPr>
          <w:p w:rsidR="006247C4" w:rsidRPr="00A96C08" w:rsidRDefault="00427772" w:rsidP="00C400F3">
            <w:pPr>
              <w:rPr>
                <w:rFonts w:ascii="Arial" w:hAnsi="Arial" w:cs="Arial"/>
              </w:rPr>
            </w:pPr>
            <w:r>
              <w:rPr>
                <w:rFonts w:ascii="Arial" w:hAnsi="Arial" w:cs="Arial"/>
              </w:rPr>
              <w:t xml:space="preserve">To award a contract </w:t>
            </w:r>
            <w:r w:rsidR="00C400F3">
              <w:rPr>
                <w:rFonts w:ascii="Arial" w:hAnsi="Arial" w:cs="Arial"/>
              </w:rPr>
              <w:t>to</w:t>
            </w:r>
            <w:r w:rsidR="008B4342">
              <w:rPr>
                <w:rFonts w:ascii="Arial" w:hAnsi="Arial" w:cs="Arial"/>
              </w:rPr>
              <w:t xml:space="preserve"> St Mungo’s Community Housing for £</w:t>
            </w:r>
            <w:r w:rsidR="00C400F3">
              <w:rPr>
                <w:rFonts w:ascii="Arial" w:hAnsi="Arial" w:cs="Arial"/>
              </w:rPr>
              <w:t>1,062,044</w:t>
            </w:r>
            <w:r w:rsidR="008B4342">
              <w:rPr>
                <w:rFonts w:ascii="Arial" w:hAnsi="Arial" w:cs="Arial"/>
              </w:rPr>
              <w:t xml:space="preserve"> </w:t>
            </w:r>
            <w:r>
              <w:rPr>
                <w:rFonts w:ascii="Arial" w:hAnsi="Arial" w:cs="Arial"/>
              </w:rPr>
              <w:t>to</w:t>
            </w:r>
            <w:r w:rsidR="00304C5D">
              <w:rPr>
                <w:rFonts w:ascii="Arial" w:hAnsi="Arial" w:cs="Arial"/>
              </w:rPr>
              <w:t xml:space="preserve"> provide a Ho</w:t>
            </w:r>
            <w:r w:rsidR="00274572">
              <w:rPr>
                <w:rFonts w:ascii="Arial" w:hAnsi="Arial" w:cs="Arial"/>
              </w:rPr>
              <w:t xml:space="preserve">using First </w:t>
            </w:r>
            <w:r w:rsidR="008B4342">
              <w:rPr>
                <w:rFonts w:ascii="Arial" w:hAnsi="Arial" w:cs="Arial"/>
              </w:rPr>
              <w:t>support service</w:t>
            </w:r>
            <w:r w:rsidR="00274572">
              <w:rPr>
                <w:rFonts w:ascii="Arial" w:hAnsi="Arial" w:cs="Arial"/>
              </w:rPr>
              <w:t xml:space="preserve"> to the end of 2023/24.</w:t>
            </w:r>
            <w:r w:rsidR="00C400F3">
              <w:rPr>
                <w:rFonts w:ascii="Arial" w:hAnsi="Arial" w:cs="Arial"/>
              </w:rPr>
              <w:t xml:space="preserve"> (Following procurement the bid came in lower than the available budget cited in the cabinet report)</w:t>
            </w:r>
          </w:p>
        </w:tc>
      </w:tr>
      <w:tr w:rsidR="00373F5D" w:rsidTr="00274572">
        <w:tc>
          <w:tcPr>
            <w:tcW w:w="4566"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5358" w:type="dxa"/>
          </w:tcPr>
          <w:p w:rsidR="00373F5D" w:rsidRPr="00A96C08" w:rsidRDefault="00C400F3" w:rsidP="00C400F3">
            <w:pPr>
              <w:rPr>
                <w:rFonts w:ascii="Arial" w:hAnsi="Arial" w:cs="Arial"/>
              </w:rPr>
            </w:pPr>
            <w:r>
              <w:rPr>
                <w:rFonts w:ascii="Arial" w:hAnsi="Arial" w:cs="Arial"/>
              </w:rPr>
              <w:t>Continuation of existing services to support people who are tough sleeping, or recovering from rough sleeping, including the provision of “everyone in” accommodation.</w:t>
            </w:r>
          </w:p>
        </w:tc>
      </w:tr>
      <w:tr w:rsidR="00DC2E8D" w:rsidTr="00274572">
        <w:tc>
          <w:tcPr>
            <w:tcW w:w="4566"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5358" w:type="dxa"/>
          </w:tcPr>
          <w:p w:rsidR="00CB5E4F" w:rsidRPr="00A96C08" w:rsidRDefault="00C400F3" w:rsidP="00C400F3">
            <w:pPr>
              <w:rPr>
                <w:rFonts w:ascii="Arial" w:hAnsi="Arial" w:cs="Arial"/>
              </w:rPr>
            </w:pPr>
            <w:r>
              <w:rPr>
                <w:rFonts w:ascii="Arial" w:hAnsi="Arial" w:cs="Arial"/>
              </w:rPr>
              <w:t>This service had been due to be recommissioned in 2020. The onset of the pandemic required this service to be completely reconfigured to support the government’s “Everyone In” initiative and exemptions form procurement were sought. These expired in July 2021 requiring the service to be procured.</w:t>
            </w:r>
          </w:p>
        </w:tc>
      </w:tr>
      <w:tr w:rsidR="00B87695" w:rsidTr="00274572">
        <w:tc>
          <w:tcPr>
            <w:tcW w:w="4566"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5358" w:type="dxa"/>
          </w:tcPr>
          <w:p w:rsidR="00B87695" w:rsidRDefault="00C400F3" w:rsidP="008A22C6">
            <w:pPr>
              <w:rPr>
                <w:rFonts w:ascii="Arial" w:hAnsi="Arial" w:cs="Arial"/>
              </w:rPr>
            </w:pPr>
            <w:r>
              <w:rPr>
                <w:rFonts w:ascii="Arial" w:hAnsi="Arial" w:cs="Arial"/>
              </w:rPr>
              <w:t>Stephen Gabriel</w:t>
            </w:r>
            <w:r w:rsidR="00427772">
              <w:rPr>
                <w:rFonts w:ascii="Arial" w:hAnsi="Arial" w:cs="Arial"/>
              </w:rPr>
              <w:t xml:space="preserve">, </w:t>
            </w:r>
            <w:r w:rsidR="00CF39AE">
              <w:rPr>
                <w:rFonts w:ascii="Arial" w:hAnsi="Arial" w:cs="Arial"/>
              </w:rPr>
              <w:t>Executive Director of Communities and People (this role has replaced the Executive Director of Housing)</w:t>
            </w:r>
          </w:p>
          <w:p w:rsidR="00274572" w:rsidRDefault="00274572" w:rsidP="008A22C6">
            <w:pPr>
              <w:rPr>
                <w:rFonts w:ascii="Arial" w:hAnsi="Arial" w:cs="Arial"/>
              </w:rPr>
            </w:pPr>
          </w:p>
          <w:p w:rsidR="00274572" w:rsidRDefault="00274572" w:rsidP="008A22C6">
            <w:pPr>
              <w:rPr>
                <w:rFonts w:ascii="Arial" w:hAnsi="Arial" w:cs="Arial"/>
              </w:rPr>
            </w:pPr>
            <w:r>
              <w:rPr>
                <w:rFonts w:ascii="Arial" w:hAnsi="Arial" w:cs="Arial"/>
              </w:rPr>
              <w:t>Decision taken in consultation with:</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Caroline Green, Chief Executive</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Nigel Kennedy, Head of Financial Services</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Susan Sale, Head of Law and Governance</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Cllr Diko Blackings, Cabinet Member for Affordable Housing and Housing the Homeless</w:t>
            </w:r>
          </w:p>
          <w:p w:rsidR="00C63CF5" w:rsidRDefault="00C63CF5" w:rsidP="00274572">
            <w:pPr>
              <w:rPr>
                <w:rFonts w:ascii="Arial" w:hAnsi="Arial" w:cs="Arial"/>
              </w:rPr>
            </w:pPr>
          </w:p>
          <w:p w:rsidR="00C63CF5" w:rsidRPr="00A96C08" w:rsidRDefault="00C63CF5" w:rsidP="00A0089E">
            <w:pPr>
              <w:rPr>
                <w:rFonts w:ascii="Arial" w:hAnsi="Arial" w:cs="Arial"/>
              </w:rPr>
            </w:pPr>
            <w:r>
              <w:rPr>
                <w:rFonts w:ascii="Arial" w:hAnsi="Arial" w:cs="Arial"/>
              </w:rPr>
              <w:t>The decision was no</w:t>
            </w:r>
            <w:r w:rsidR="00A0089E">
              <w:rPr>
                <w:rFonts w:ascii="Arial" w:hAnsi="Arial" w:cs="Arial"/>
              </w:rPr>
              <w:t>tified on the Forward Plan for 28</w:t>
            </w:r>
            <w:r>
              <w:rPr>
                <w:rFonts w:ascii="Arial" w:hAnsi="Arial" w:cs="Arial"/>
              </w:rPr>
              <w:t xml:space="preserve"> clear days and the Chair of Scrutiny was informed</w:t>
            </w:r>
            <w:r w:rsidR="00C62F08">
              <w:rPr>
                <w:rFonts w:ascii="Arial" w:hAnsi="Arial" w:cs="Arial"/>
              </w:rPr>
              <w:t xml:space="preserve"> under the “general exemption” </w:t>
            </w:r>
          </w:p>
        </w:tc>
      </w:tr>
      <w:tr w:rsidR="006F6326" w:rsidTr="00274572">
        <w:tc>
          <w:tcPr>
            <w:tcW w:w="4566" w:type="dxa"/>
          </w:tcPr>
          <w:p w:rsidR="006F6326" w:rsidRDefault="006F6326" w:rsidP="00E270E5">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5358" w:type="dxa"/>
          </w:tcPr>
          <w:p w:rsidR="00263039" w:rsidRPr="00A96C08" w:rsidRDefault="00304C5D" w:rsidP="00DD1A34">
            <w:pPr>
              <w:rPr>
                <w:rFonts w:ascii="Arial" w:hAnsi="Arial" w:cs="Arial"/>
              </w:rPr>
            </w:pPr>
            <w:r>
              <w:rPr>
                <w:rFonts w:ascii="Arial" w:hAnsi="Arial" w:cs="Arial"/>
              </w:rPr>
              <w:t>N/A</w:t>
            </w:r>
          </w:p>
        </w:tc>
      </w:tr>
      <w:tr w:rsidR="006F6326" w:rsidTr="00274572">
        <w:trPr>
          <w:trHeight w:val="1018"/>
        </w:trPr>
        <w:tc>
          <w:tcPr>
            <w:tcW w:w="4566"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5358" w:type="dxa"/>
          </w:tcPr>
          <w:p w:rsidR="006F6326" w:rsidRPr="00A96C08" w:rsidRDefault="00C400F3" w:rsidP="008A22C6">
            <w:pPr>
              <w:rPr>
                <w:rFonts w:ascii="Arial" w:hAnsi="Arial" w:cs="Arial"/>
              </w:rPr>
            </w:pPr>
            <w:r w:rsidRPr="00C400F3">
              <w:rPr>
                <w:rFonts w:ascii="Arial" w:hAnsi="Arial" w:cs="Arial"/>
              </w:rPr>
              <w:t xml:space="preserve">Report on County-Wide Transformation of Homelessness </w:t>
            </w:r>
            <w:r w:rsidR="00427772">
              <w:rPr>
                <w:rFonts w:ascii="Arial" w:hAnsi="Arial" w:cs="Arial"/>
              </w:rPr>
              <w:t>– report to Cabinet on 16 June 2021</w:t>
            </w:r>
          </w:p>
        </w:tc>
      </w:tr>
      <w:tr w:rsidR="006F6326" w:rsidTr="00274572">
        <w:tc>
          <w:tcPr>
            <w:tcW w:w="4566"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5358" w:type="dxa"/>
          </w:tcPr>
          <w:p w:rsidR="006F6326" w:rsidRPr="00A96C08" w:rsidRDefault="00427772" w:rsidP="008A22C6">
            <w:pPr>
              <w:rPr>
                <w:rFonts w:ascii="Arial" w:hAnsi="Arial" w:cs="Arial"/>
              </w:rPr>
            </w:pPr>
            <w:r>
              <w:rPr>
                <w:rFonts w:ascii="Arial" w:hAnsi="Arial" w:cs="Arial"/>
              </w:rPr>
              <w:t>Key</w:t>
            </w:r>
          </w:p>
        </w:tc>
      </w:tr>
      <w:tr w:rsidR="006F6326" w:rsidTr="00274572">
        <w:tc>
          <w:tcPr>
            <w:tcW w:w="4566"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5358" w:type="dxa"/>
          </w:tcPr>
          <w:p w:rsidR="006F6326" w:rsidRPr="00A96C08" w:rsidRDefault="00427772" w:rsidP="008A22C6">
            <w:pPr>
              <w:rPr>
                <w:rFonts w:ascii="Arial" w:hAnsi="Arial" w:cs="Arial"/>
              </w:rPr>
            </w:pPr>
            <w:r>
              <w:rPr>
                <w:rFonts w:ascii="Arial" w:hAnsi="Arial" w:cs="Arial"/>
              </w:rPr>
              <w:t>None</w:t>
            </w:r>
          </w:p>
        </w:tc>
      </w:tr>
      <w:tr w:rsidR="006F6326" w:rsidTr="00274572">
        <w:tc>
          <w:tcPr>
            <w:tcW w:w="4566"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5358" w:type="dxa"/>
          </w:tcPr>
          <w:p w:rsidR="006F6326" w:rsidRPr="00A96C08" w:rsidRDefault="00427772" w:rsidP="008A22C6">
            <w:pPr>
              <w:rPr>
                <w:rFonts w:ascii="Arial" w:hAnsi="Arial" w:cs="Arial"/>
              </w:rPr>
            </w:pPr>
            <w:r>
              <w:rPr>
                <w:rFonts w:ascii="Arial" w:hAnsi="Arial" w:cs="Arial"/>
              </w:rPr>
              <w:t>None</w:t>
            </w:r>
          </w:p>
        </w:tc>
      </w:tr>
      <w:tr w:rsidR="00B87695" w:rsidTr="00274572">
        <w:tc>
          <w:tcPr>
            <w:tcW w:w="4566"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5358" w:type="dxa"/>
          </w:tcPr>
          <w:p w:rsidR="004A049B" w:rsidRDefault="004A049B" w:rsidP="008A22C6">
            <w:pPr>
              <w:rPr>
                <w:rFonts w:ascii="Arial" w:hAnsi="Arial" w:cs="Arial"/>
              </w:rPr>
            </w:pPr>
          </w:p>
          <w:p w:rsidR="00304C5D" w:rsidRDefault="00304C5D" w:rsidP="008A22C6">
            <w:pPr>
              <w:rPr>
                <w:rFonts w:ascii="Arial" w:hAnsi="Arial" w:cs="Arial"/>
              </w:rPr>
            </w:pPr>
            <w:r>
              <w:rPr>
                <w:rFonts w:ascii="Arial" w:hAnsi="Arial" w:cs="Arial"/>
              </w:rPr>
              <w:t>Paul Wilding: Rough Sleeping &amp; Single Homelessness Manager</w:t>
            </w:r>
          </w:p>
          <w:p w:rsidR="00304C5D" w:rsidRPr="00A96C08" w:rsidRDefault="00501AAE" w:rsidP="00501AAE">
            <w:pPr>
              <w:rPr>
                <w:rFonts w:ascii="Arial" w:hAnsi="Arial" w:cs="Arial"/>
              </w:rPr>
            </w:pPr>
            <w:r>
              <w:rPr>
                <w:rFonts w:ascii="Arial" w:hAnsi="Arial" w:cs="Arial"/>
              </w:rPr>
              <w:t>1 October</w:t>
            </w:r>
            <w:r w:rsidR="00304C5D">
              <w:rPr>
                <w:rFonts w:ascii="Arial" w:hAnsi="Arial" w:cs="Arial"/>
              </w:rPr>
              <w:t xml:space="preserve"> August 2021</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42777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427772">
        <w:trPr>
          <w:trHeight w:val="516"/>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r>
              <w:rPr>
                <w:rFonts w:ascii="Arial" w:hAnsi="Arial" w:cs="Arial"/>
              </w:rPr>
              <w:t xml:space="preserve">The officer with authority to take the decision, either from a Cabinet delegation or in the Constitution. </w:t>
            </w:r>
          </w:p>
        </w:tc>
        <w:tc>
          <w:tcPr>
            <w:tcW w:w="4536" w:type="dxa"/>
            <w:vAlign w:val="center"/>
          </w:tcPr>
          <w:p w:rsidR="005C60B2" w:rsidRPr="005C60B2" w:rsidRDefault="00501AAE" w:rsidP="005C60B2">
            <w:pPr>
              <w:rPr>
                <w:rFonts w:ascii="Arial" w:hAnsi="Arial" w:cs="Arial"/>
              </w:rPr>
            </w:pPr>
            <w:r>
              <w:rPr>
                <w:rFonts w:ascii="Arial" w:hAnsi="Arial" w:cs="Arial"/>
              </w:rPr>
              <w:t>Stephen Gabriel</w:t>
            </w:r>
            <w:r w:rsidR="00427772">
              <w:rPr>
                <w:rFonts w:ascii="Arial" w:hAnsi="Arial" w:cs="Arial"/>
              </w:rPr>
              <w:t>, Director of Housing</w:t>
            </w:r>
          </w:p>
        </w:tc>
        <w:tc>
          <w:tcPr>
            <w:tcW w:w="1984" w:type="dxa"/>
            <w:vAlign w:val="center"/>
          </w:tcPr>
          <w:p w:rsidR="005C60B2" w:rsidRPr="005C60B2" w:rsidRDefault="00AB721B" w:rsidP="005C60B2">
            <w:pPr>
              <w:rPr>
                <w:rFonts w:ascii="Arial" w:hAnsi="Arial" w:cs="Arial"/>
              </w:rPr>
            </w:pPr>
            <w:r>
              <w:rPr>
                <w:rFonts w:ascii="Arial" w:hAnsi="Arial" w:cs="Arial"/>
              </w:rPr>
              <w:t>20.10.21</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5C60B2">
        <w:trPr>
          <w:trHeight w:val="516"/>
        </w:trPr>
        <w:tc>
          <w:tcPr>
            <w:tcW w:w="3403" w:type="dxa"/>
            <w:vAlign w:val="center"/>
          </w:tcPr>
          <w:p w:rsidR="005C60B2" w:rsidRPr="00427772" w:rsidRDefault="00427772" w:rsidP="00427772">
            <w:pPr>
              <w:spacing w:before="120" w:after="120"/>
              <w:rPr>
                <w:rFonts w:ascii="Arial" w:hAnsi="Arial" w:cs="Arial"/>
                <w:b/>
              </w:rPr>
            </w:pPr>
            <w:r>
              <w:rPr>
                <w:rFonts w:ascii="Arial" w:hAnsi="Arial" w:cs="Arial"/>
                <w:b/>
              </w:rPr>
              <w:t>Chief Executive</w:t>
            </w:r>
          </w:p>
        </w:tc>
        <w:tc>
          <w:tcPr>
            <w:tcW w:w="4536" w:type="dxa"/>
            <w:vAlign w:val="center"/>
          </w:tcPr>
          <w:p w:rsidR="005C60B2" w:rsidRPr="005C60B2" w:rsidRDefault="00427772" w:rsidP="005C60B2">
            <w:pPr>
              <w:rPr>
                <w:rFonts w:ascii="Arial" w:hAnsi="Arial" w:cs="Arial"/>
              </w:rPr>
            </w:pPr>
            <w:r>
              <w:rPr>
                <w:rFonts w:ascii="Arial" w:hAnsi="Arial" w:cs="Arial"/>
              </w:rPr>
              <w:t>Caroline Green, Chief Executive</w:t>
            </w:r>
          </w:p>
        </w:tc>
        <w:tc>
          <w:tcPr>
            <w:tcW w:w="1984" w:type="dxa"/>
            <w:vAlign w:val="center"/>
          </w:tcPr>
          <w:p w:rsidR="005C60B2" w:rsidRPr="005C60B2" w:rsidRDefault="00D127DB" w:rsidP="005C60B2">
            <w:pPr>
              <w:rPr>
                <w:rFonts w:ascii="Arial" w:hAnsi="Arial" w:cs="Arial"/>
              </w:rPr>
            </w:pPr>
            <w:r>
              <w:rPr>
                <w:rFonts w:ascii="Arial" w:hAnsi="Arial" w:cs="Arial"/>
              </w:rPr>
              <w:t>5.10.21</w:t>
            </w:r>
          </w:p>
        </w:tc>
      </w:tr>
      <w:tr w:rsidR="005C60B2" w:rsidRPr="005C60B2" w:rsidTr="005C60B2">
        <w:trPr>
          <w:trHeight w:val="1161"/>
        </w:trPr>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5C60B2">
            <w:pPr>
              <w:spacing w:before="120"/>
              <w:rPr>
                <w:rFonts w:ascii="Arial" w:hAnsi="Arial" w:cs="Arial"/>
              </w:rPr>
            </w:pPr>
            <w:r w:rsidRPr="005C60B2">
              <w:rPr>
                <w:rFonts w:ascii="Arial" w:hAnsi="Arial" w:cs="Arial"/>
              </w:rPr>
              <w:t>required by the delegation / Constitution</w:t>
            </w:r>
          </w:p>
        </w:tc>
        <w:tc>
          <w:tcPr>
            <w:tcW w:w="4536" w:type="dxa"/>
            <w:vAlign w:val="center"/>
          </w:tcPr>
          <w:p w:rsidR="005C60B2" w:rsidRPr="005C60B2" w:rsidRDefault="00427772" w:rsidP="005C60B2">
            <w:pPr>
              <w:rPr>
                <w:rFonts w:ascii="Arial" w:hAnsi="Arial" w:cs="Arial"/>
              </w:rPr>
            </w:pPr>
            <w:r>
              <w:rPr>
                <w:rFonts w:ascii="Arial" w:hAnsi="Arial" w:cs="Arial"/>
              </w:rPr>
              <w:t>Nigel Kennedy, Head of Financial Services</w:t>
            </w:r>
          </w:p>
        </w:tc>
        <w:tc>
          <w:tcPr>
            <w:tcW w:w="1984" w:type="dxa"/>
            <w:vAlign w:val="center"/>
          </w:tcPr>
          <w:p w:rsidR="005C60B2" w:rsidRPr="005C60B2" w:rsidRDefault="007D203D" w:rsidP="005C60B2">
            <w:pPr>
              <w:rPr>
                <w:rFonts w:ascii="Arial" w:hAnsi="Arial" w:cs="Arial"/>
              </w:rPr>
            </w:pPr>
            <w:r>
              <w:rPr>
                <w:rFonts w:ascii="Arial" w:hAnsi="Arial" w:cs="Arial"/>
              </w:rPr>
              <w:t>5.10.21</w:t>
            </w:r>
          </w:p>
        </w:tc>
      </w:tr>
      <w:tr w:rsidR="005C60B2" w:rsidRPr="005C60B2" w:rsidTr="005C60B2">
        <w:trPr>
          <w:trHeight w:val="834"/>
        </w:trPr>
        <w:tc>
          <w:tcPr>
            <w:tcW w:w="3403" w:type="dxa"/>
          </w:tcPr>
          <w:p w:rsidR="005C60B2" w:rsidRDefault="005C60B2" w:rsidP="005C60B2">
            <w:pPr>
              <w:spacing w:before="120" w:after="120"/>
              <w:rPr>
                <w:rFonts w:ascii="Arial" w:hAnsi="Arial" w:cs="Arial"/>
                <w:b/>
              </w:rPr>
            </w:pPr>
            <w:r w:rsidRPr="005C60B2">
              <w:rPr>
                <w:rFonts w:ascii="Arial" w:hAnsi="Arial" w:cs="Arial"/>
                <w:b/>
              </w:rPr>
              <w:lastRenderedPageBreak/>
              <w:t xml:space="preserve">Head of Law and Governance </w:t>
            </w:r>
          </w:p>
          <w:p w:rsidR="005C60B2" w:rsidRPr="005C60B2" w:rsidRDefault="005C60B2" w:rsidP="005C60B2">
            <w:pPr>
              <w:spacing w:before="120" w:after="120"/>
              <w:rPr>
                <w:rFonts w:ascii="Arial" w:hAnsi="Arial" w:cs="Arial"/>
              </w:rPr>
            </w:pPr>
            <w:r w:rsidRPr="005C60B2">
              <w:rPr>
                <w:rFonts w:ascii="Arial" w:hAnsi="Arial" w:cs="Arial"/>
              </w:rPr>
              <w:t>if required by the delegation / Constitution</w:t>
            </w:r>
          </w:p>
        </w:tc>
        <w:tc>
          <w:tcPr>
            <w:tcW w:w="4536" w:type="dxa"/>
            <w:vAlign w:val="center"/>
          </w:tcPr>
          <w:p w:rsidR="005C60B2" w:rsidRPr="005C60B2" w:rsidRDefault="00427772" w:rsidP="005C60B2">
            <w:pPr>
              <w:rPr>
                <w:rFonts w:ascii="Arial" w:hAnsi="Arial" w:cs="Arial"/>
              </w:rPr>
            </w:pPr>
            <w:r>
              <w:rPr>
                <w:rFonts w:ascii="Arial" w:hAnsi="Arial" w:cs="Arial"/>
              </w:rPr>
              <w:t>Susan Sale, Head of Law and Governance</w:t>
            </w:r>
          </w:p>
        </w:tc>
        <w:tc>
          <w:tcPr>
            <w:tcW w:w="1984" w:type="dxa"/>
          </w:tcPr>
          <w:p w:rsidR="007D203D" w:rsidRPr="005C60B2" w:rsidRDefault="007D203D" w:rsidP="005C60B2">
            <w:pPr>
              <w:rPr>
                <w:rFonts w:ascii="Arial" w:hAnsi="Arial" w:cs="Arial"/>
              </w:rPr>
            </w:pPr>
            <w:r>
              <w:rPr>
                <w:rFonts w:ascii="Arial" w:hAnsi="Arial" w:cs="Arial"/>
              </w:rPr>
              <w:t>15.10.21</w:t>
            </w:r>
          </w:p>
        </w:tc>
      </w:tr>
      <w:tr w:rsidR="005C60B2" w:rsidRPr="005C60B2" w:rsidTr="005C60B2">
        <w:trPr>
          <w:trHeight w:val="562"/>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Cabinet Member(s)</w:t>
            </w:r>
          </w:p>
          <w:p w:rsidR="005C60B2" w:rsidRPr="005C60B2" w:rsidRDefault="005C60B2" w:rsidP="005C60B2">
            <w:pPr>
              <w:spacing w:before="120" w:after="120"/>
              <w:rPr>
                <w:rFonts w:ascii="Arial" w:hAnsi="Arial" w:cs="Arial"/>
              </w:rPr>
            </w:pPr>
            <w:r>
              <w:rPr>
                <w:rFonts w:ascii="Arial" w:hAnsi="Arial" w:cs="Arial"/>
              </w:rPr>
              <w:t>Some Cabinet delegations require consultation with the relevant Cabinet Member(s). For other decisions there is an expectation that Cabinet Members will be informed.</w:t>
            </w:r>
          </w:p>
        </w:tc>
        <w:tc>
          <w:tcPr>
            <w:tcW w:w="4536" w:type="dxa"/>
            <w:vAlign w:val="center"/>
          </w:tcPr>
          <w:p w:rsidR="00427772" w:rsidRPr="00427772" w:rsidRDefault="00427772" w:rsidP="00427772">
            <w:pPr>
              <w:rPr>
                <w:rFonts w:ascii="Arial" w:hAnsi="Arial" w:cs="Arial"/>
              </w:rPr>
            </w:pPr>
            <w:r w:rsidRPr="00427772">
              <w:rPr>
                <w:rFonts w:ascii="Arial" w:hAnsi="Arial" w:cs="Arial"/>
              </w:rPr>
              <w:t>Councillor Diko Blackings, Cabinet Member for Affordable</w:t>
            </w:r>
          </w:p>
          <w:p w:rsidR="005C60B2" w:rsidRPr="005C60B2" w:rsidRDefault="00427772" w:rsidP="00427772">
            <w:pPr>
              <w:rPr>
                <w:rFonts w:ascii="Arial" w:hAnsi="Arial" w:cs="Arial"/>
              </w:rPr>
            </w:pPr>
            <w:r w:rsidRPr="00427772">
              <w:rPr>
                <w:rFonts w:ascii="Arial" w:hAnsi="Arial" w:cs="Arial"/>
              </w:rPr>
              <w:t>Housing and Housing the Homeless</w:t>
            </w:r>
          </w:p>
        </w:tc>
        <w:tc>
          <w:tcPr>
            <w:tcW w:w="1984" w:type="dxa"/>
            <w:vAlign w:val="center"/>
          </w:tcPr>
          <w:p w:rsidR="005C60B2" w:rsidRPr="005C60B2" w:rsidRDefault="00CF39AE" w:rsidP="005C60B2">
            <w:pPr>
              <w:rPr>
                <w:rFonts w:ascii="Arial" w:hAnsi="Arial" w:cs="Arial"/>
              </w:rPr>
            </w:pPr>
            <w:r>
              <w:rPr>
                <w:rFonts w:ascii="Arial" w:hAnsi="Arial" w:cs="Arial"/>
              </w:rPr>
              <w:t>16.10.21</w:t>
            </w:r>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0B2" w:rsidRDefault="005C60B2" w:rsidP="002611EB">
      <w:pPr>
        <w:rPr>
          <w:rFonts w:ascii="Arial" w:hAnsi="Arial" w:cs="Arial"/>
          <w:b/>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666"/>
    <w:multiLevelType w:val="hybridMultilevel"/>
    <w:tmpl w:val="960C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009DD"/>
    <w:rsid w:val="0020137C"/>
    <w:rsid w:val="00231385"/>
    <w:rsid w:val="002611EB"/>
    <w:rsid w:val="00263039"/>
    <w:rsid w:val="00274572"/>
    <w:rsid w:val="002A07C9"/>
    <w:rsid w:val="002B53D4"/>
    <w:rsid w:val="002E61DD"/>
    <w:rsid w:val="00304C5D"/>
    <w:rsid w:val="00335A9B"/>
    <w:rsid w:val="003505E0"/>
    <w:rsid w:val="003547CD"/>
    <w:rsid w:val="00373F5D"/>
    <w:rsid w:val="003B1236"/>
    <w:rsid w:val="004000D7"/>
    <w:rsid w:val="0040101C"/>
    <w:rsid w:val="00405321"/>
    <w:rsid w:val="00424A92"/>
    <w:rsid w:val="00427772"/>
    <w:rsid w:val="004A049B"/>
    <w:rsid w:val="004B1944"/>
    <w:rsid w:val="004F144E"/>
    <w:rsid w:val="00501AAE"/>
    <w:rsid w:val="00504E43"/>
    <w:rsid w:val="00532DF2"/>
    <w:rsid w:val="005C60B2"/>
    <w:rsid w:val="005C6416"/>
    <w:rsid w:val="005E37E4"/>
    <w:rsid w:val="00616F3F"/>
    <w:rsid w:val="006247C4"/>
    <w:rsid w:val="00677766"/>
    <w:rsid w:val="006F6326"/>
    <w:rsid w:val="006F6731"/>
    <w:rsid w:val="007023AB"/>
    <w:rsid w:val="007908F4"/>
    <w:rsid w:val="007D203D"/>
    <w:rsid w:val="007D270E"/>
    <w:rsid w:val="00801BEB"/>
    <w:rsid w:val="00804BF2"/>
    <w:rsid w:val="008137F7"/>
    <w:rsid w:val="00834D72"/>
    <w:rsid w:val="00844D21"/>
    <w:rsid w:val="00854133"/>
    <w:rsid w:val="008613FB"/>
    <w:rsid w:val="008676E5"/>
    <w:rsid w:val="008900A7"/>
    <w:rsid w:val="00891B19"/>
    <w:rsid w:val="008A22C6"/>
    <w:rsid w:val="008B4342"/>
    <w:rsid w:val="008E4629"/>
    <w:rsid w:val="00986C99"/>
    <w:rsid w:val="009F048F"/>
    <w:rsid w:val="009F6401"/>
    <w:rsid w:val="00A0089E"/>
    <w:rsid w:val="00A12928"/>
    <w:rsid w:val="00A96C08"/>
    <w:rsid w:val="00AB721B"/>
    <w:rsid w:val="00AC5899"/>
    <w:rsid w:val="00B15340"/>
    <w:rsid w:val="00B87695"/>
    <w:rsid w:val="00B928EF"/>
    <w:rsid w:val="00BD4490"/>
    <w:rsid w:val="00BE1FD4"/>
    <w:rsid w:val="00BF240D"/>
    <w:rsid w:val="00BF5EA4"/>
    <w:rsid w:val="00C07F80"/>
    <w:rsid w:val="00C251F7"/>
    <w:rsid w:val="00C400F3"/>
    <w:rsid w:val="00C6130E"/>
    <w:rsid w:val="00C62F08"/>
    <w:rsid w:val="00C63CF5"/>
    <w:rsid w:val="00C678ED"/>
    <w:rsid w:val="00CB5E4F"/>
    <w:rsid w:val="00CD4BC9"/>
    <w:rsid w:val="00CE6085"/>
    <w:rsid w:val="00CF39AE"/>
    <w:rsid w:val="00D127DB"/>
    <w:rsid w:val="00D33F83"/>
    <w:rsid w:val="00D543D9"/>
    <w:rsid w:val="00DB01D4"/>
    <w:rsid w:val="00DC2E8D"/>
    <w:rsid w:val="00DD1A34"/>
    <w:rsid w:val="00DD4885"/>
    <w:rsid w:val="00DD51B2"/>
    <w:rsid w:val="00E127E3"/>
    <w:rsid w:val="00E20A54"/>
    <w:rsid w:val="00E270E5"/>
    <w:rsid w:val="00E97F84"/>
    <w:rsid w:val="00F11FD1"/>
    <w:rsid w:val="00F64579"/>
    <w:rsid w:val="00FC297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9B0D-7E68-4929-B1AD-ABDCB2CE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3B6B4FED</Template>
  <TotalTime>68</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WILDING Paul</cp:lastModifiedBy>
  <cp:revision>6</cp:revision>
  <cp:lastPrinted>2015-07-27T09:35:00Z</cp:lastPrinted>
  <dcterms:created xsi:type="dcterms:W3CDTF">2021-10-01T15:40:00Z</dcterms:created>
  <dcterms:modified xsi:type="dcterms:W3CDTF">2021-10-20T09:08:00Z</dcterms:modified>
</cp:coreProperties>
</file>